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5240"/>
        <w:gridCol w:w="5216"/>
      </w:tblGrid>
      <w:tr w:rsidR="002A5086" w:rsidRPr="00BE4D7D" w:rsidTr="001422C8">
        <w:trPr>
          <w:tblHeader/>
        </w:trPr>
        <w:tc>
          <w:tcPr>
            <w:tcW w:w="10456" w:type="dxa"/>
            <w:gridSpan w:val="2"/>
          </w:tcPr>
          <w:p w:rsidR="002A5086" w:rsidRPr="00BE4D7D" w:rsidRDefault="002A5086" w:rsidP="001422C8">
            <w:pPr>
              <w:jc w:val="center"/>
              <w:rPr>
                <w:rFonts w:ascii="Times New Roman" w:eastAsia="標楷體" w:hAnsi="Times New Roman"/>
                <w:szCs w:val="24"/>
              </w:rPr>
            </w:pPr>
            <w:r w:rsidRPr="00BE4D7D">
              <w:rPr>
                <w:rFonts w:ascii="Times New Roman" w:eastAsia="標楷體" w:hAnsi="Times New Roman" w:hint="eastAsia"/>
                <w:szCs w:val="24"/>
              </w:rPr>
              <w:t>兆豐國際商業銀行</w:t>
            </w:r>
            <w:r w:rsidR="001422C8">
              <w:rPr>
                <w:rFonts w:ascii="Times New Roman" w:eastAsia="標楷體" w:hAnsi="Times New Roman" w:hint="eastAsia"/>
                <w:szCs w:val="24"/>
              </w:rPr>
              <w:t>支票</w:t>
            </w:r>
            <w:r w:rsidRPr="00BE4D7D">
              <w:rPr>
                <w:rFonts w:ascii="Times New Roman" w:eastAsia="標楷體" w:hAnsi="Times New Roman" w:hint="eastAsia"/>
                <w:szCs w:val="24"/>
              </w:rPr>
              <w:t>存款開戶</w:t>
            </w:r>
            <w:r w:rsidR="001422C8">
              <w:rPr>
                <w:rFonts w:ascii="Times New Roman" w:eastAsia="標楷體" w:hAnsi="Times New Roman" w:hint="eastAsia"/>
                <w:szCs w:val="24"/>
              </w:rPr>
              <w:t>申請書暨往來</w:t>
            </w:r>
            <w:r w:rsidRPr="00BE4D7D">
              <w:rPr>
                <w:rFonts w:ascii="Times New Roman" w:eastAsia="標楷體" w:hAnsi="Times New Roman" w:hint="eastAsia"/>
                <w:szCs w:val="24"/>
              </w:rPr>
              <w:t>約定書修訂條文對照表</w:t>
            </w:r>
          </w:p>
        </w:tc>
      </w:tr>
      <w:tr w:rsidR="00395BA5" w:rsidRPr="00BE4D7D" w:rsidTr="00395BA5">
        <w:trPr>
          <w:tblHeader/>
        </w:trPr>
        <w:tc>
          <w:tcPr>
            <w:tcW w:w="5240" w:type="dxa"/>
            <w:shd w:val="clear" w:color="auto" w:fill="D9D9D9" w:themeFill="background1" w:themeFillShade="D9"/>
          </w:tcPr>
          <w:p w:rsidR="00395BA5" w:rsidRPr="00BE4D7D" w:rsidRDefault="00395BA5" w:rsidP="00F62025">
            <w:pPr>
              <w:jc w:val="center"/>
              <w:rPr>
                <w:rFonts w:ascii="Times New Roman" w:eastAsia="標楷體" w:hAnsi="Times New Roman"/>
                <w:szCs w:val="24"/>
              </w:rPr>
            </w:pPr>
            <w:r w:rsidRPr="00BE4D7D">
              <w:rPr>
                <w:rFonts w:ascii="Times New Roman" w:eastAsia="標楷體" w:hAnsi="Times New Roman" w:hint="eastAsia"/>
                <w:szCs w:val="24"/>
              </w:rPr>
              <w:t>修訂條文</w:t>
            </w:r>
          </w:p>
        </w:tc>
        <w:tc>
          <w:tcPr>
            <w:tcW w:w="5216" w:type="dxa"/>
            <w:shd w:val="clear" w:color="auto" w:fill="D9D9D9" w:themeFill="background1" w:themeFillShade="D9"/>
          </w:tcPr>
          <w:p w:rsidR="00395BA5" w:rsidRPr="00BE4D7D" w:rsidRDefault="00395BA5" w:rsidP="00F62025">
            <w:pPr>
              <w:jc w:val="center"/>
              <w:rPr>
                <w:rFonts w:ascii="Times New Roman" w:eastAsia="標楷體" w:hAnsi="Times New Roman"/>
                <w:szCs w:val="24"/>
              </w:rPr>
            </w:pPr>
            <w:bookmarkStart w:id="0" w:name="_GoBack"/>
            <w:bookmarkEnd w:id="0"/>
            <w:r w:rsidRPr="00BE4D7D">
              <w:rPr>
                <w:rFonts w:ascii="Times New Roman" w:eastAsia="標楷體" w:hAnsi="Times New Roman" w:hint="eastAsia"/>
                <w:szCs w:val="24"/>
              </w:rPr>
              <w:t>現行條文</w:t>
            </w:r>
          </w:p>
        </w:tc>
      </w:tr>
      <w:tr w:rsidR="00395BA5" w:rsidRPr="00BE4D7D" w:rsidTr="00395BA5">
        <w:tc>
          <w:tcPr>
            <w:tcW w:w="5240" w:type="dxa"/>
          </w:tcPr>
          <w:p w:rsidR="00395BA5" w:rsidRPr="0029501A" w:rsidRDefault="00395BA5" w:rsidP="001422C8">
            <w:pPr>
              <w:pStyle w:val="ab"/>
              <w:tabs>
                <w:tab w:val="clear" w:pos="720"/>
              </w:tabs>
              <w:snapToGrid w:val="0"/>
              <w:spacing w:line="240" w:lineRule="auto"/>
              <w:ind w:left="0" w:firstLine="0"/>
              <w:jc w:val="both"/>
              <w:rPr>
                <w:rFonts w:ascii="標楷體" w:eastAsia="標楷體" w:hAnsi="標楷體"/>
                <w:color w:val="000000"/>
                <w:sz w:val="24"/>
                <w:szCs w:val="24"/>
              </w:rPr>
            </w:pPr>
            <w:r w:rsidRPr="00021DD1">
              <w:rPr>
                <w:rFonts w:ascii="標楷體" w:eastAsia="標楷體" w:hAnsi="標楷體" w:hint="eastAsia"/>
                <w:color w:val="auto"/>
                <w:sz w:val="24"/>
                <w:szCs w:val="24"/>
              </w:rPr>
              <w:t>第二十五條</w:t>
            </w:r>
            <w:r w:rsidRPr="0029501A">
              <w:rPr>
                <w:rFonts w:ascii="標楷體" w:eastAsia="標楷體" w:hAnsi="標楷體" w:hint="eastAsia"/>
                <w:color w:val="000000"/>
                <w:sz w:val="24"/>
                <w:szCs w:val="24"/>
              </w:rPr>
              <w:t>（</w:t>
            </w:r>
            <w:r w:rsidRPr="00AA591A">
              <w:rPr>
                <w:rFonts w:ascii="標楷體" w:eastAsia="標楷體" w:hAnsi="標楷體" w:hint="eastAsia"/>
                <w:color w:val="auto"/>
                <w:sz w:val="24"/>
                <w:szCs w:val="24"/>
              </w:rPr>
              <w:t>遵循防制洗錢及打擊資恐約定條款</w:t>
            </w:r>
            <w:r w:rsidRPr="0029501A">
              <w:rPr>
                <w:rFonts w:ascii="標楷體" w:eastAsia="標楷體" w:hAnsi="標楷體" w:hint="eastAsia"/>
                <w:color w:val="000000"/>
                <w:sz w:val="24"/>
                <w:szCs w:val="24"/>
              </w:rPr>
              <w:t>）</w:t>
            </w:r>
          </w:p>
          <w:p w:rsidR="00395BA5" w:rsidRDefault="00395BA5" w:rsidP="005A0372">
            <w:pPr>
              <w:tabs>
                <w:tab w:val="left" w:pos="480"/>
              </w:tabs>
              <w:autoSpaceDE w:val="0"/>
              <w:autoSpaceDN w:val="0"/>
              <w:adjustRightInd w:val="0"/>
              <w:ind w:leftChars="13" w:left="31"/>
              <w:jc w:val="both"/>
              <w:rPr>
                <w:rFonts w:ascii="標楷體" w:eastAsia="標楷體" w:hAnsi="標楷體" w:cs="細明體"/>
                <w:kern w:val="0"/>
                <w:szCs w:val="24"/>
              </w:rPr>
            </w:pPr>
            <w:r w:rsidRPr="00AA591A">
              <w:rPr>
                <w:rFonts w:ascii="標楷體" w:eastAsia="標楷體" w:hAnsi="標楷體" w:cs="細明體" w:hint="eastAsia"/>
                <w:kern w:val="0"/>
                <w:szCs w:val="24"/>
              </w:rPr>
              <w:t>根據洗錢防制法</w:t>
            </w:r>
            <w:r w:rsidRPr="00BE4D7D">
              <w:rPr>
                <w:rFonts w:ascii="Times New Roman" w:eastAsia="標楷體" w:hAnsi="Times New Roman" w:cs="Arial" w:hint="eastAsia"/>
                <w:szCs w:val="24"/>
              </w:rPr>
              <w:t>、、、</w:t>
            </w:r>
            <w:r w:rsidRPr="00AA591A">
              <w:rPr>
                <w:rFonts w:ascii="標楷體" w:eastAsia="標楷體" w:hAnsi="標楷體" w:cs="細明體" w:hint="eastAsia"/>
                <w:kern w:val="0"/>
                <w:szCs w:val="24"/>
              </w:rPr>
              <w:t>存戶關係人負任何損害賠償責任。</w:t>
            </w:r>
          </w:p>
          <w:p w:rsidR="00395BA5" w:rsidRDefault="00395BA5" w:rsidP="005A0372">
            <w:pPr>
              <w:tabs>
                <w:tab w:val="left" w:pos="480"/>
              </w:tabs>
              <w:autoSpaceDE w:val="0"/>
              <w:autoSpaceDN w:val="0"/>
              <w:adjustRightInd w:val="0"/>
              <w:ind w:leftChars="13" w:left="31"/>
              <w:jc w:val="both"/>
              <w:rPr>
                <w:rFonts w:ascii="標楷體" w:eastAsia="標楷體" w:hAnsi="標楷體" w:cs="細明體"/>
                <w:kern w:val="0"/>
                <w:szCs w:val="24"/>
              </w:rPr>
            </w:pPr>
            <w:r w:rsidRPr="00AA591A">
              <w:rPr>
                <w:rFonts w:ascii="標楷體" w:eastAsia="標楷體" w:hAnsi="標楷體" w:cs="細明體" w:hint="eastAsia"/>
                <w:kern w:val="0"/>
                <w:szCs w:val="24"/>
              </w:rPr>
              <w:t>存戶同意銀行得將疑似洗錢、受任何國家或國際組織經濟或貿易限制</w:t>
            </w:r>
            <w:r w:rsidRPr="00AA591A">
              <w:rPr>
                <w:rFonts w:ascii="標楷體" w:eastAsia="標楷體" w:hAnsi="標楷體" w:cs="細明體"/>
                <w:kern w:val="0"/>
                <w:szCs w:val="24"/>
              </w:rPr>
              <w:t>/</w:t>
            </w:r>
            <w:r w:rsidRPr="00AA591A">
              <w:rPr>
                <w:rFonts w:ascii="標楷體" w:eastAsia="標楷體" w:hAnsi="標楷體" w:cs="細明體" w:hint="eastAsia"/>
                <w:kern w:val="0"/>
                <w:szCs w:val="24"/>
              </w:rPr>
              <w:t>制裁、具受銀行控管特殊身分、或與前揭目的相關之存戶及其與銀行從事任何交易之資料、與存戶及存戶關係人有關之資料在銀行、銀行分支機構、銀行所屬之金融控股公司及其所轄之子公司及其他依法令或經主管機關核准之對象（下稱「收受對象」）間傳遞並作為機密使用（包括但不限於有關任何服務之提供及作為資料處理、利用、統計及風險分析之用），前揭各該收受對象依法令或主管機關之要求得處理、利用、移轉及揭露該等資料。</w:t>
            </w:r>
          </w:p>
          <w:p w:rsidR="00395BA5" w:rsidRPr="00395BA5" w:rsidRDefault="00395BA5" w:rsidP="000040DC">
            <w:pPr>
              <w:tabs>
                <w:tab w:val="left" w:pos="480"/>
              </w:tabs>
              <w:autoSpaceDE w:val="0"/>
              <w:autoSpaceDN w:val="0"/>
              <w:adjustRightInd w:val="0"/>
              <w:ind w:leftChars="13" w:left="31"/>
              <w:jc w:val="both"/>
              <w:rPr>
                <w:rFonts w:ascii="標楷體" w:eastAsia="標楷體" w:hAnsi="標楷體" w:cs="細明體"/>
                <w:color w:val="FF0000"/>
                <w:kern w:val="0"/>
                <w:szCs w:val="24"/>
                <w:u w:val="single"/>
              </w:rPr>
            </w:pPr>
            <w:r w:rsidRPr="00395BA5">
              <w:rPr>
                <w:rFonts w:ascii="標楷體" w:eastAsia="標楷體" w:hAnsi="標楷體" w:cs="Segoe UI" w:hint="eastAsia"/>
                <w:color w:val="FF0000"/>
                <w:u w:val="single"/>
                <w:shd w:val="clear" w:color="auto" w:fill="FFFFFF"/>
              </w:rPr>
              <w:t>「存戶同意銀行為遵循防制洗錢及打擊資恐相關之國內外法令規定（包括但不限於美國洗錢防制法</w:t>
            </w:r>
            <w:r w:rsidRPr="00395BA5">
              <w:rPr>
                <w:rFonts w:ascii="標楷體" w:eastAsia="標楷體" w:hAnsi="標楷體" w:cs="Segoe UI"/>
                <w:color w:val="FF0000"/>
                <w:u w:val="single"/>
                <w:shd w:val="clear" w:color="auto" w:fill="FFFFFF"/>
              </w:rPr>
              <w:t>(Anti-Money Laundering Act)</w:t>
            </w:r>
            <w:r w:rsidRPr="00395BA5">
              <w:rPr>
                <w:rFonts w:ascii="標楷體" w:eastAsia="標楷體" w:hAnsi="標楷體" w:cs="Segoe UI" w:hint="eastAsia"/>
                <w:color w:val="FF0000"/>
                <w:u w:val="single"/>
                <w:shd w:val="clear" w:color="auto" w:fill="FFFFFF"/>
              </w:rPr>
              <w:t>第</w:t>
            </w:r>
            <w:r w:rsidRPr="00395BA5">
              <w:rPr>
                <w:rFonts w:ascii="標楷體" w:eastAsia="標楷體" w:hAnsi="標楷體" w:cs="Segoe UI"/>
                <w:color w:val="FF0000"/>
                <w:u w:val="single"/>
                <w:shd w:val="clear" w:color="auto" w:fill="FFFFFF"/>
              </w:rPr>
              <w:t>6308</w:t>
            </w:r>
            <w:r w:rsidRPr="00395BA5">
              <w:rPr>
                <w:rFonts w:ascii="標楷體" w:eastAsia="標楷體" w:hAnsi="標楷體" w:cs="Segoe UI" w:hint="eastAsia"/>
                <w:color w:val="FF0000"/>
                <w:u w:val="single"/>
                <w:shd w:val="clear" w:color="auto" w:fill="FFFFFF"/>
              </w:rPr>
              <w:t>條及其他國內外法令、我國與外國政府簽訂之條約、協定或協議等）之目的，得依國內外法令、機關之裁判（定）、命令或要求，將與存戶本人或帳戶有關之銀行紀錄（包括但不限於銀行所提供之產品服務及往來紀錄等）、簿冊或其他資料，提供（包含國際傳輸）予我國或外國政府機關（包括但不限於司法、行政、稅務或其他主管機關等）；法人存戶並擔保於本存款開戶時已取得存戶關係人（包括但不限於存戶之實質受益人、高階管理人、代理人、代表人及被授權人等）之同意，使銀行得於上述目的範圍內將前開人員之個人資料提供予前述之機關。」</w:t>
            </w:r>
          </w:p>
          <w:p w:rsidR="00395BA5" w:rsidRPr="001422C8" w:rsidRDefault="00395BA5" w:rsidP="000040DC">
            <w:pPr>
              <w:tabs>
                <w:tab w:val="left" w:pos="480"/>
              </w:tabs>
              <w:autoSpaceDE w:val="0"/>
              <w:autoSpaceDN w:val="0"/>
              <w:adjustRightInd w:val="0"/>
              <w:jc w:val="both"/>
              <w:rPr>
                <w:rFonts w:ascii="標楷體" w:eastAsia="標楷體" w:hAnsi="標楷體" w:cs="細明體"/>
                <w:kern w:val="0"/>
                <w:szCs w:val="24"/>
              </w:rPr>
            </w:pPr>
            <w:r w:rsidRPr="00AA591A">
              <w:rPr>
                <w:rFonts w:ascii="標楷體" w:eastAsia="標楷體" w:hAnsi="標楷體" w:cs="細明體" w:hint="eastAsia"/>
                <w:kern w:val="0"/>
                <w:szCs w:val="24"/>
              </w:rPr>
              <w:t>存戶與存戶關係人如有以下情形之一者，存戶同意銀行毋須通知存戶，得逕為下列之處理，以遵循防制洗錢及打擊資恐等相關法令規範，倘存戶與存戶關係人因此發生損害或承受不利益均由其自行承擔，銀行不負損害賠償責任：</w:t>
            </w:r>
            <w:r w:rsidRPr="00BE4D7D">
              <w:rPr>
                <w:rFonts w:ascii="Times New Roman" w:eastAsia="標楷體" w:hAnsi="Times New Roman" w:cs="Arial" w:hint="eastAsia"/>
                <w:szCs w:val="24"/>
              </w:rPr>
              <w:t>、、、</w:t>
            </w:r>
            <w:r>
              <w:rPr>
                <w:rFonts w:ascii="Times New Roman" w:eastAsia="標楷體" w:hAnsi="Times New Roman" w:cs="Arial" w:hint="eastAsia"/>
                <w:szCs w:val="24"/>
              </w:rPr>
              <w:t>。</w:t>
            </w:r>
          </w:p>
        </w:tc>
        <w:tc>
          <w:tcPr>
            <w:tcW w:w="5216" w:type="dxa"/>
          </w:tcPr>
          <w:p w:rsidR="00395BA5" w:rsidRPr="0029501A" w:rsidRDefault="00395BA5" w:rsidP="001422C8">
            <w:pPr>
              <w:pStyle w:val="ab"/>
              <w:tabs>
                <w:tab w:val="clear" w:pos="720"/>
              </w:tabs>
              <w:snapToGrid w:val="0"/>
              <w:spacing w:line="240" w:lineRule="auto"/>
              <w:ind w:left="0" w:firstLine="0"/>
              <w:jc w:val="both"/>
              <w:rPr>
                <w:rFonts w:ascii="標楷體" w:eastAsia="標楷體" w:hAnsi="標楷體"/>
                <w:color w:val="000000"/>
                <w:sz w:val="24"/>
                <w:szCs w:val="24"/>
              </w:rPr>
            </w:pPr>
            <w:r w:rsidRPr="00021DD1">
              <w:rPr>
                <w:rFonts w:ascii="標楷體" w:eastAsia="標楷體" w:hAnsi="標楷體" w:hint="eastAsia"/>
                <w:color w:val="auto"/>
                <w:sz w:val="24"/>
                <w:szCs w:val="24"/>
              </w:rPr>
              <w:t>第二十五條</w:t>
            </w:r>
            <w:r w:rsidRPr="0029501A">
              <w:rPr>
                <w:rFonts w:ascii="標楷體" w:eastAsia="標楷體" w:hAnsi="標楷體" w:hint="eastAsia"/>
                <w:color w:val="000000"/>
                <w:sz w:val="24"/>
                <w:szCs w:val="24"/>
              </w:rPr>
              <w:t>（</w:t>
            </w:r>
            <w:r w:rsidRPr="00AA591A">
              <w:rPr>
                <w:rFonts w:ascii="標楷體" w:eastAsia="標楷體" w:hAnsi="標楷體" w:hint="eastAsia"/>
                <w:color w:val="auto"/>
                <w:sz w:val="24"/>
                <w:szCs w:val="24"/>
              </w:rPr>
              <w:t>遵循防制洗錢及打擊資恐約定條款</w:t>
            </w:r>
            <w:r w:rsidRPr="0029501A">
              <w:rPr>
                <w:rFonts w:ascii="標楷體" w:eastAsia="標楷體" w:hAnsi="標楷體" w:hint="eastAsia"/>
                <w:color w:val="000000"/>
                <w:sz w:val="24"/>
                <w:szCs w:val="24"/>
              </w:rPr>
              <w:t>）</w:t>
            </w:r>
          </w:p>
          <w:p w:rsidR="00395BA5" w:rsidRPr="00AA591A" w:rsidRDefault="00395BA5" w:rsidP="005A0372">
            <w:pPr>
              <w:tabs>
                <w:tab w:val="left" w:pos="480"/>
              </w:tabs>
              <w:autoSpaceDE w:val="0"/>
              <w:autoSpaceDN w:val="0"/>
              <w:adjustRightInd w:val="0"/>
              <w:jc w:val="both"/>
              <w:rPr>
                <w:rFonts w:ascii="標楷體" w:eastAsia="標楷體" w:hAnsi="標楷體" w:cs="細明體"/>
                <w:kern w:val="0"/>
                <w:szCs w:val="24"/>
              </w:rPr>
            </w:pPr>
            <w:r w:rsidRPr="00AA591A">
              <w:rPr>
                <w:rFonts w:ascii="標楷體" w:eastAsia="標楷體" w:hAnsi="標楷體" w:cs="細明體" w:hint="eastAsia"/>
                <w:kern w:val="0"/>
                <w:szCs w:val="24"/>
              </w:rPr>
              <w:t>根據洗錢防制法</w:t>
            </w:r>
            <w:r w:rsidRPr="00BE4D7D">
              <w:rPr>
                <w:rFonts w:ascii="Times New Roman" w:eastAsia="標楷體" w:hAnsi="Times New Roman" w:cs="Arial" w:hint="eastAsia"/>
                <w:szCs w:val="24"/>
              </w:rPr>
              <w:t>、、、</w:t>
            </w:r>
            <w:r w:rsidRPr="00AA591A">
              <w:rPr>
                <w:rFonts w:ascii="標楷體" w:eastAsia="標楷體" w:hAnsi="標楷體" w:cs="細明體" w:hint="eastAsia"/>
                <w:kern w:val="0"/>
                <w:szCs w:val="24"/>
              </w:rPr>
              <w:t>存戶關係人負任何損害賠償責任。</w:t>
            </w:r>
          </w:p>
          <w:p w:rsidR="00395BA5" w:rsidRPr="00AA591A" w:rsidRDefault="00395BA5" w:rsidP="005A0372">
            <w:pPr>
              <w:tabs>
                <w:tab w:val="left" w:pos="480"/>
                <w:tab w:val="left" w:pos="1317"/>
              </w:tabs>
              <w:autoSpaceDE w:val="0"/>
              <w:autoSpaceDN w:val="0"/>
              <w:adjustRightInd w:val="0"/>
              <w:jc w:val="both"/>
              <w:rPr>
                <w:rFonts w:ascii="標楷體" w:eastAsia="標楷體" w:hAnsi="標楷體" w:cs="細明體"/>
                <w:kern w:val="0"/>
                <w:szCs w:val="24"/>
              </w:rPr>
            </w:pPr>
            <w:r w:rsidRPr="00AA591A">
              <w:rPr>
                <w:rFonts w:ascii="標楷體" w:eastAsia="標楷體" w:hAnsi="標楷體" w:cs="細明體" w:hint="eastAsia"/>
                <w:kern w:val="0"/>
                <w:szCs w:val="24"/>
              </w:rPr>
              <w:t>存戶同意銀行得將疑似洗錢、受任何國家或國際組織經濟或貿易限制</w:t>
            </w:r>
            <w:r w:rsidRPr="00AA591A">
              <w:rPr>
                <w:rFonts w:ascii="標楷體" w:eastAsia="標楷體" w:hAnsi="標楷體" w:cs="細明體"/>
                <w:kern w:val="0"/>
                <w:szCs w:val="24"/>
              </w:rPr>
              <w:t>/</w:t>
            </w:r>
            <w:r w:rsidRPr="00AA591A">
              <w:rPr>
                <w:rFonts w:ascii="標楷體" w:eastAsia="標楷體" w:hAnsi="標楷體" w:cs="細明體" w:hint="eastAsia"/>
                <w:kern w:val="0"/>
                <w:szCs w:val="24"/>
              </w:rPr>
              <w:t>制裁、具受銀行控管特殊身分、或與前揭目的相關之存戶及其與銀行從事任何交易之資料、與存戶及存戶關係人有關之資料在銀行、銀行分支機構、銀行所屬之金融控股公司及其所轄之子公司及其他依法令或經主管機關核准之對象（下稱「收受對象」）間傳遞並作為機密使用（包括但不限於有關任何服務之提供及作為資料處理、利用、統計及風險分析之用），前揭各該收受對象依法令或主管機關之要求得處理、利用、移轉及揭露該等資料。存戶與存戶關係人如有以下情形之一者，存戶同意銀行毋須通知存戶，得逕為下列之處理，以遵循防制洗錢及打擊資恐等相關法令規範，倘存戶與存戶關係人因此發生損害或承受不利益均由其自行承擔，銀行不負損害賠償責任：</w:t>
            </w:r>
            <w:r w:rsidRPr="00BE4D7D">
              <w:rPr>
                <w:rFonts w:ascii="Times New Roman" w:eastAsia="標楷體" w:hAnsi="Times New Roman" w:cs="Arial" w:hint="eastAsia"/>
                <w:szCs w:val="24"/>
              </w:rPr>
              <w:t>、、、</w:t>
            </w:r>
            <w:r>
              <w:rPr>
                <w:rFonts w:ascii="Times New Roman" w:eastAsia="標楷體" w:hAnsi="Times New Roman" w:cs="Arial" w:hint="eastAsia"/>
                <w:szCs w:val="24"/>
              </w:rPr>
              <w:t>。</w:t>
            </w:r>
          </w:p>
          <w:p w:rsidR="00395BA5" w:rsidRPr="001422C8" w:rsidRDefault="00395BA5" w:rsidP="001422C8">
            <w:pPr>
              <w:autoSpaceDE w:val="0"/>
              <w:autoSpaceDN w:val="0"/>
              <w:adjustRightInd w:val="0"/>
              <w:ind w:left="1134" w:hanging="425"/>
              <w:jc w:val="both"/>
              <w:rPr>
                <w:rFonts w:ascii="標楷體" w:eastAsia="標楷體" w:hAnsi="標楷體" w:cs="細明體"/>
                <w:b/>
                <w:kern w:val="0"/>
                <w:szCs w:val="24"/>
              </w:rPr>
            </w:pPr>
          </w:p>
        </w:tc>
      </w:tr>
    </w:tbl>
    <w:p w:rsidR="00E42C50" w:rsidRDefault="00E42C50" w:rsidP="007B3DC5">
      <w:pPr>
        <w:spacing w:line="40" w:lineRule="exact"/>
      </w:pPr>
    </w:p>
    <w:sectPr w:rsidR="00E42C50" w:rsidSect="00E92362">
      <w:footerReference w:type="default" r:id="rId8"/>
      <w:pgSz w:w="11906" w:h="16838" w:code="9"/>
      <w:pgMar w:top="720" w:right="567" w:bottom="720" w:left="72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AF9" w:rsidRDefault="00FB4AF9" w:rsidP="007713D9">
      <w:r>
        <w:separator/>
      </w:r>
    </w:p>
  </w:endnote>
  <w:endnote w:type="continuationSeparator" w:id="0">
    <w:p w:rsidR="00FB4AF9" w:rsidRDefault="00FB4AF9" w:rsidP="0077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華康標楷體W3(P)">
    <w:altName w:val="新細明體"/>
    <w:panose1 w:val="00000000000000000000"/>
    <w:charset w:val="88"/>
    <w:family w:val="auto"/>
    <w:notTrueType/>
    <w:pitch w:val="default"/>
    <w:sig w:usb0="00000001" w:usb1="08080000" w:usb2="00000010" w:usb3="00000000" w:csb0="00100000" w:csb1="00000000"/>
  </w:font>
  <w:font w:name="標楷體">
    <w:altName w:val="標楷體U脀."/>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576352"/>
      <w:docPartObj>
        <w:docPartGallery w:val="Page Numbers (Bottom of Page)"/>
        <w:docPartUnique/>
      </w:docPartObj>
    </w:sdtPr>
    <w:sdtEndPr/>
    <w:sdtContent>
      <w:p w:rsidR="003C08CF" w:rsidRDefault="003C08CF" w:rsidP="003C08CF">
        <w:pPr>
          <w:pStyle w:val="a7"/>
          <w:jc w:val="center"/>
        </w:pPr>
        <w:r>
          <w:rPr>
            <w:rFonts w:hint="eastAsia"/>
          </w:rPr>
          <w:t>第</w:t>
        </w:r>
        <w:r>
          <w:fldChar w:fldCharType="begin"/>
        </w:r>
        <w:r>
          <w:instrText>PAGE   \* MERGEFORMAT</w:instrText>
        </w:r>
        <w:r>
          <w:fldChar w:fldCharType="separate"/>
        </w:r>
        <w:r w:rsidR="00395BA5" w:rsidRPr="00395BA5">
          <w:rPr>
            <w:noProof/>
            <w:lang w:val="zh-TW"/>
          </w:rPr>
          <w:t>1</w:t>
        </w:r>
        <w:r>
          <w:fldChar w:fldCharType="end"/>
        </w:r>
        <w:r>
          <w:rPr>
            <w:rFonts w:hint="eastAsia"/>
          </w:rPr>
          <w:t>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AF9" w:rsidRDefault="00FB4AF9" w:rsidP="007713D9">
      <w:r>
        <w:separator/>
      </w:r>
    </w:p>
  </w:footnote>
  <w:footnote w:type="continuationSeparator" w:id="0">
    <w:p w:rsidR="00FB4AF9" w:rsidRDefault="00FB4AF9" w:rsidP="00771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989"/>
    <w:multiLevelType w:val="hybridMultilevel"/>
    <w:tmpl w:val="88C6B5C2"/>
    <w:lvl w:ilvl="0" w:tplc="2FB6B074">
      <w:start w:val="1"/>
      <w:numFmt w:val="taiwaneseCountingThousand"/>
      <w:suff w:val="space"/>
      <w:lvlText w:val="%1、"/>
      <w:lvlJc w:val="left"/>
      <w:pPr>
        <w:ind w:left="480" w:hanging="480"/>
      </w:pPr>
      <w:rPr>
        <w:rFonts w:hint="eastAsia"/>
      </w:rPr>
    </w:lvl>
    <w:lvl w:ilvl="1" w:tplc="AFFCD308">
      <w:start w:val="1"/>
      <w:numFmt w:val="taiwaneseCountingThousand"/>
      <w:suff w:val="space"/>
      <w:lvlText w:val="（%2）"/>
      <w:lvlJc w:val="left"/>
      <w:pPr>
        <w:ind w:left="960" w:hanging="48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5771C8"/>
    <w:multiLevelType w:val="hybridMultilevel"/>
    <w:tmpl w:val="887A24AA"/>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421678D"/>
    <w:multiLevelType w:val="hybridMultilevel"/>
    <w:tmpl w:val="2424D8CE"/>
    <w:lvl w:ilvl="0" w:tplc="6B762454">
      <w:start w:val="1"/>
      <w:numFmt w:val="taiwaneseCountingThousand"/>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D84A64"/>
    <w:multiLevelType w:val="hybridMultilevel"/>
    <w:tmpl w:val="5A3639CE"/>
    <w:lvl w:ilvl="0" w:tplc="E28A7D84">
      <w:start w:val="1"/>
      <w:numFmt w:val="taiwaneseCountingThousand"/>
      <w:lvlText w:val="%1、"/>
      <w:lvlJc w:val="left"/>
      <w:pPr>
        <w:ind w:left="1584" w:hanging="45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3EC7BFB"/>
    <w:multiLevelType w:val="hybridMultilevel"/>
    <w:tmpl w:val="28E2CF70"/>
    <w:lvl w:ilvl="0" w:tplc="04090015">
      <w:start w:val="1"/>
      <w:numFmt w:val="taiwaneseCountingThousand"/>
      <w:lvlText w:val="%1、"/>
      <w:lvlJc w:val="left"/>
      <w:pPr>
        <w:ind w:left="480" w:hanging="480"/>
      </w:pPr>
    </w:lvl>
    <w:lvl w:ilvl="1" w:tplc="FF1ECB00">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02312A8"/>
    <w:multiLevelType w:val="hybridMultilevel"/>
    <w:tmpl w:val="C4DA8066"/>
    <w:lvl w:ilvl="0" w:tplc="04090015">
      <w:start w:val="1"/>
      <w:numFmt w:val="taiwaneseCountingThousand"/>
      <w:lvlText w:val="%1、"/>
      <w:lvlJc w:val="left"/>
      <w:pPr>
        <w:ind w:left="960" w:hanging="480"/>
      </w:pPr>
    </w:lvl>
    <w:lvl w:ilvl="1" w:tplc="3926D3A4">
      <w:start w:val="1"/>
      <w:numFmt w:val="taiwaneseCountingThousand"/>
      <w:suff w:val="space"/>
      <w:lvlText w:val="（%2）"/>
      <w:lvlJc w:val="left"/>
      <w:pPr>
        <w:ind w:left="480" w:hanging="480"/>
      </w:pPr>
      <w:rPr>
        <w:rFonts w:hint="default"/>
        <w:b w:val="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9D449EC"/>
    <w:multiLevelType w:val="hybridMultilevel"/>
    <w:tmpl w:val="5A3639CE"/>
    <w:lvl w:ilvl="0" w:tplc="E28A7D84">
      <w:start w:val="1"/>
      <w:numFmt w:val="taiwaneseCountingThousand"/>
      <w:lvlText w:val="%1、"/>
      <w:lvlJc w:val="left"/>
      <w:pPr>
        <w:ind w:left="1584" w:hanging="45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636F73"/>
    <w:multiLevelType w:val="hybridMultilevel"/>
    <w:tmpl w:val="DDF0EB84"/>
    <w:lvl w:ilvl="0" w:tplc="F51490D0">
      <w:start w:val="5"/>
      <w:numFmt w:val="ideographLegalTraditional"/>
      <w:lvlText w:val="第%1章、"/>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4"/>
  </w:num>
  <w:num w:numId="4">
    <w:abstractNumId w:val="3"/>
  </w:num>
  <w:num w:numId="5">
    <w:abstractNumId w:val="0"/>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51C"/>
    <w:rsid w:val="000040DC"/>
    <w:rsid w:val="00005248"/>
    <w:rsid w:val="00027632"/>
    <w:rsid w:val="0006067D"/>
    <w:rsid w:val="00081EC8"/>
    <w:rsid w:val="000F1660"/>
    <w:rsid w:val="00104F0F"/>
    <w:rsid w:val="00126583"/>
    <w:rsid w:val="00132D24"/>
    <w:rsid w:val="001422C8"/>
    <w:rsid w:val="00182DBD"/>
    <w:rsid w:val="001A6845"/>
    <w:rsid w:val="00204518"/>
    <w:rsid w:val="002A5086"/>
    <w:rsid w:val="002B0B43"/>
    <w:rsid w:val="002B1411"/>
    <w:rsid w:val="002D25E9"/>
    <w:rsid w:val="002F3717"/>
    <w:rsid w:val="00300B49"/>
    <w:rsid w:val="00301DEC"/>
    <w:rsid w:val="00326638"/>
    <w:rsid w:val="00361202"/>
    <w:rsid w:val="00395BA5"/>
    <w:rsid w:val="003C08CF"/>
    <w:rsid w:val="003D16B6"/>
    <w:rsid w:val="0040467A"/>
    <w:rsid w:val="00432278"/>
    <w:rsid w:val="00433C8C"/>
    <w:rsid w:val="00475129"/>
    <w:rsid w:val="0047716D"/>
    <w:rsid w:val="004C6AD2"/>
    <w:rsid w:val="004D17C5"/>
    <w:rsid w:val="00593AB3"/>
    <w:rsid w:val="005A0372"/>
    <w:rsid w:val="005A4371"/>
    <w:rsid w:val="005B2A34"/>
    <w:rsid w:val="00671B15"/>
    <w:rsid w:val="00683DA8"/>
    <w:rsid w:val="006F544F"/>
    <w:rsid w:val="00726EC9"/>
    <w:rsid w:val="0074568C"/>
    <w:rsid w:val="007666A6"/>
    <w:rsid w:val="007713D9"/>
    <w:rsid w:val="007B3DC5"/>
    <w:rsid w:val="00846CA4"/>
    <w:rsid w:val="008566AE"/>
    <w:rsid w:val="008E22DC"/>
    <w:rsid w:val="0091114A"/>
    <w:rsid w:val="009111BF"/>
    <w:rsid w:val="0093147F"/>
    <w:rsid w:val="009363B0"/>
    <w:rsid w:val="009873B0"/>
    <w:rsid w:val="00997F13"/>
    <w:rsid w:val="009B0399"/>
    <w:rsid w:val="009B1F3D"/>
    <w:rsid w:val="009C7CF5"/>
    <w:rsid w:val="009D0F73"/>
    <w:rsid w:val="009F5D2E"/>
    <w:rsid w:val="00A05673"/>
    <w:rsid w:val="00A8251C"/>
    <w:rsid w:val="00A87589"/>
    <w:rsid w:val="00B03FC3"/>
    <w:rsid w:val="00B13AC3"/>
    <w:rsid w:val="00B556CF"/>
    <w:rsid w:val="00B95705"/>
    <w:rsid w:val="00BC5187"/>
    <w:rsid w:val="00BE4D7D"/>
    <w:rsid w:val="00BF7A4D"/>
    <w:rsid w:val="00C754D1"/>
    <w:rsid w:val="00C90E75"/>
    <w:rsid w:val="00C9268B"/>
    <w:rsid w:val="00CA06CB"/>
    <w:rsid w:val="00DF2285"/>
    <w:rsid w:val="00DF2B98"/>
    <w:rsid w:val="00E047BB"/>
    <w:rsid w:val="00E42C50"/>
    <w:rsid w:val="00E56AA9"/>
    <w:rsid w:val="00E86BDB"/>
    <w:rsid w:val="00E92362"/>
    <w:rsid w:val="00E9535D"/>
    <w:rsid w:val="00EE0D54"/>
    <w:rsid w:val="00EF1305"/>
    <w:rsid w:val="00F62025"/>
    <w:rsid w:val="00F77E33"/>
    <w:rsid w:val="00F8058C"/>
    <w:rsid w:val="00FB4AF9"/>
    <w:rsid w:val="00FE2A5B"/>
    <w:rsid w:val="00FE59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659856-5966-4110-BA7C-E11137D3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2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251C"/>
    <w:pPr>
      <w:ind w:leftChars="200" w:left="480"/>
    </w:pPr>
    <w:rPr>
      <w:rFonts w:ascii="Times New Roman" w:eastAsia="新細明體" w:hAnsi="Times New Roman" w:cs="Times New Roman"/>
      <w:szCs w:val="24"/>
    </w:rPr>
  </w:style>
  <w:style w:type="paragraph" w:styleId="a5">
    <w:name w:val="header"/>
    <w:basedOn w:val="a"/>
    <w:link w:val="a6"/>
    <w:uiPriority w:val="99"/>
    <w:unhideWhenUsed/>
    <w:rsid w:val="007713D9"/>
    <w:pPr>
      <w:tabs>
        <w:tab w:val="center" w:pos="4153"/>
        <w:tab w:val="right" w:pos="8306"/>
      </w:tabs>
      <w:snapToGrid w:val="0"/>
    </w:pPr>
    <w:rPr>
      <w:sz w:val="20"/>
      <w:szCs w:val="20"/>
    </w:rPr>
  </w:style>
  <w:style w:type="character" w:customStyle="1" w:styleId="a6">
    <w:name w:val="頁首 字元"/>
    <w:basedOn w:val="a0"/>
    <w:link w:val="a5"/>
    <w:uiPriority w:val="99"/>
    <w:rsid w:val="007713D9"/>
    <w:rPr>
      <w:sz w:val="20"/>
      <w:szCs w:val="20"/>
    </w:rPr>
  </w:style>
  <w:style w:type="paragraph" w:styleId="a7">
    <w:name w:val="footer"/>
    <w:basedOn w:val="a"/>
    <w:link w:val="a8"/>
    <w:uiPriority w:val="99"/>
    <w:unhideWhenUsed/>
    <w:rsid w:val="007713D9"/>
    <w:pPr>
      <w:tabs>
        <w:tab w:val="center" w:pos="4153"/>
        <w:tab w:val="right" w:pos="8306"/>
      </w:tabs>
      <w:snapToGrid w:val="0"/>
    </w:pPr>
    <w:rPr>
      <w:sz w:val="20"/>
      <w:szCs w:val="20"/>
    </w:rPr>
  </w:style>
  <w:style w:type="character" w:customStyle="1" w:styleId="a8">
    <w:name w:val="頁尾 字元"/>
    <w:basedOn w:val="a0"/>
    <w:link w:val="a7"/>
    <w:uiPriority w:val="99"/>
    <w:rsid w:val="007713D9"/>
    <w:rPr>
      <w:sz w:val="20"/>
      <w:szCs w:val="20"/>
    </w:rPr>
  </w:style>
  <w:style w:type="paragraph" w:styleId="a9">
    <w:name w:val="Balloon Text"/>
    <w:basedOn w:val="a"/>
    <w:link w:val="aa"/>
    <w:uiPriority w:val="99"/>
    <w:semiHidden/>
    <w:unhideWhenUsed/>
    <w:rsid w:val="003C08C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C08CF"/>
    <w:rPr>
      <w:rFonts w:asciiTheme="majorHAnsi" w:eastAsiaTheme="majorEastAsia" w:hAnsiTheme="majorHAnsi" w:cstheme="majorBidi"/>
      <w:sz w:val="18"/>
      <w:szCs w:val="18"/>
    </w:rPr>
  </w:style>
  <w:style w:type="paragraph" w:customStyle="1" w:styleId="ab">
    <w:name w:val="條文"/>
    <w:basedOn w:val="a"/>
    <w:rsid w:val="001422C8"/>
    <w:pPr>
      <w:widowControl/>
      <w:tabs>
        <w:tab w:val="left" w:pos="720"/>
      </w:tabs>
      <w:autoSpaceDE w:val="0"/>
      <w:autoSpaceDN w:val="0"/>
      <w:adjustRightInd w:val="0"/>
      <w:spacing w:line="240" w:lineRule="exact"/>
      <w:ind w:left="1361" w:hanging="1361"/>
      <w:textAlignment w:val="bottom"/>
    </w:pPr>
    <w:rPr>
      <w:rFonts w:ascii="華康標楷體W3(P)" w:eastAsia="華康標楷體W3(P)" w:hAnsi="Times New Roman" w:cs="Times New Roman"/>
      <w:color w:val="00008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BA2A3-099F-46C7-8060-7A0645D2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瞿光宇(業務管理處,高級辦事員)</dc:creator>
  <cp:keywords/>
  <dc:description/>
  <cp:lastModifiedBy>Windows 使用者</cp:lastModifiedBy>
  <cp:revision>6</cp:revision>
  <cp:lastPrinted>2022-12-21T07:47:00Z</cp:lastPrinted>
  <dcterms:created xsi:type="dcterms:W3CDTF">2022-12-20T06:25:00Z</dcterms:created>
  <dcterms:modified xsi:type="dcterms:W3CDTF">2022-12-30T09:11:00Z</dcterms:modified>
</cp:coreProperties>
</file>